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B" w:rsidRDefault="002305BB" w:rsidP="00F3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53</w:t>
      </w:r>
    </w:p>
    <w:p w:rsidR="00F34584" w:rsidRDefault="00EE5499" w:rsidP="00F3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34584">
        <w:rPr>
          <w:rFonts w:ascii="Times New Roman" w:eastAsia="Times New Roman" w:hAnsi="Times New Roman" w:cs="Times New Roman"/>
          <w:b/>
          <w:bCs/>
        </w:rPr>
        <w:t>FRECUENCIA DE USO Y EFECTOS ADVERSOS GASTRO INTESTINALES DE METFORMINA EN PACIENTES CON DIABETES MELLITUS TIPO 2 CONTROLADOS EN UN HOSPITAL PÚBLICO</w:t>
      </w:r>
    </w:p>
    <w:p w:rsidR="00F34584" w:rsidRDefault="00EE5499" w:rsidP="00F3458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F34584">
        <w:rPr>
          <w:rFonts w:ascii="Times New Roman" w:eastAsia="Times New Roman" w:hAnsi="Times New Roman" w:cs="Times New Roman"/>
        </w:rPr>
        <w:t>Francesca Gattini</w:t>
      </w:r>
      <w:r w:rsidRPr="00F34584">
        <w:rPr>
          <w:rFonts w:ascii="Times New Roman" w:eastAsia="Times New Roman" w:hAnsi="Times New Roman" w:cs="Times New Roman"/>
          <w:vertAlign w:val="superscript"/>
        </w:rPr>
        <w:t>1</w:t>
      </w:r>
      <w:r w:rsidRPr="00F34584">
        <w:rPr>
          <w:rFonts w:ascii="Times New Roman" w:eastAsia="Times New Roman" w:hAnsi="Times New Roman" w:cs="Times New Roman"/>
        </w:rPr>
        <w:t>, R</w:t>
      </w:r>
      <w:r w:rsidR="00F34584">
        <w:rPr>
          <w:rFonts w:ascii="Times New Roman" w:eastAsia="Times New Roman" w:hAnsi="Times New Roman" w:cs="Times New Roman"/>
        </w:rPr>
        <w:t>egina Cecilia Vargas</w:t>
      </w:r>
      <w:r w:rsidRPr="00F34584">
        <w:rPr>
          <w:rFonts w:ascii="Times New Roman" w:eastAsia="Times New Roman" w:hAnsi="Times New Roman" w:cs="Times New Roman"/>
          <w:vertAlign w:val="superscript"/>
        </w:rPr>
        <w:t>1</w:t>
      </w:r>
      <w:r w:rsidRPr="00F34584">
        <w:rPr>
          <w:rFonts w:ascii="Times New Roman" w:eastAsia="Times New Roman" w:hAnsi="Times New Roman" w:cs="Times New Roman"/>
        </w:rPr>
        <w:t>, Andrea Contreras</w:t>
      </w:r>
      <w:r w:rsidRPr="00F34584">
        <w:rPr>
          <w:rFonts w:ascii="Times New Roman" w:eastAsia="Times New Roman" w:hAnsi="Times New Roman" w:cs="Times New Roman"/>
          <w:vertAlign w:val="superscript"/>
        </w:rPr>
        <w:t>1</w:t>
      </w:r>
      <w:r w:rsidRPr="00F34584">
        <w:rPr>
          <w:rFonts w:ascii="Times New Roman" w:eastAsia="Times New Roman" w:hAnsi="Times New Roman" w:cs="Times New Roman"/>
        </w:rPr>
        <w:t>, Kristel</w:t>
      </w:r>
      <w:r w:rsidR="00F34584">
        <w:rPr>
          <w:rFonts w:ascii="Times New Roman" w:eastAsia="Times New Roman" w:hAnsi="Times New Roman" w:cs="Times New Roman"/>
        </w:rPr>
        <w:t xml:space="preserve"> </w:t>
      </w:r>
      <w:r w:rsidRPr="00F34584">
        <w:rPr>
          <w:rFonts w:ascii="Times New Roman" w:eastAsia="Times New Roman" w:hAnsi="Times New Roman" w:cs="Times New Roman"/>
        </w:rPr>
        <w:t>Strodthoff</w:t>
      </w:r>
      <w:r w:rsidRPr="00F34584">
        <w:rPr>
          <w:rFonts w:ascii="Times New Roman" w:eastAsia="Times New Roman" w:hAnsi="Times New Roman" w:cs="Times New Roman"/>
          <w:vertAlign w:val="superscript"/>
        </w:rPr>
        <w:t>1</w:t>
      </w:r>
      <w:r w:rsidRPr="00F34584">
        <w:rPr>
          <w:rFonts w:ascii="Times New Roman" w:eastAsia="Times New Roman" w:hAnsi="Times New Roman" w:cs="Times New Roman"/>
        </w:rPr>
        <w:t xml:space="preserve">, Vicente </w:t>
      </w:r>
      <w:r w:rsidR="00F34584" w:rsidRPr="00F34584">
        <w:rPr>
          <w:rFonts w:ascii="Times New Roman" w:eastAsia="Times New Roman" w:hAnsi="Times New Roman" w:cs="Times New Roman"/>
        </w:rPr>
        <w:t>Gutiérrez</w:t>
      </w:r>
      <w:r w:rsidRPr="00F34584">
        <w:rPr>
          <w:rFonts w:ascii="Times New Roman" w:eastAsia="Times New Roman" w:hAnsi="Times New Roman" w:cs="Times New Roman"/>
          <w:vertAlign w:val="superscript"/>
        </w:rPr>
        <w:t>1</w:t>
      </w:r>
    </w:p>
    <w:p w:rsidR="00442E9E" w:rsidRPr="00F34584" w:rsidRDefault="00EE5499" w:rsidP="00F3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4584">
        <w:rPr>
          <w:rFonts w:ascii="Times New Roman" w:eastAsia="Times New Roman" w:hAnsi="Times New Roman" w:cs="Times New Roman"/>
          <w:vertAlign w:val="superscript"/>
        </w:rPr>
        <w:t>1</w:t>
      </w:r>
      <w:r w:rsidRPr="00F34584">
        <w:rPr>
          <w:rFonts w:ascii="Times New Roman" w:eastAsia="Times New Roman" w:hAnsi="Times New Roman" w:cs="Times New Roman"/>
        </w:rPr>
        <w:t>Hospital Padre Hurtado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F34584">
        <w:rPr>
          <w:rStyle w:val="Textoennegrita"/>
          <w:sz w:val="22"/>
          <w:szCs w:val="22"/>
        </w:rPr>
        <w:t>Introducción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sz w:val="22"/>
          <w:szCs w:val="22"/>
        </w:rPr>
        <w:t>Dentro de la patogenia d</w:t>
      </w:r>
      <w:r w:rsidR="006C581E">
        <w:rPr>
          <w:sz w:val="22"/>
          <w:szCs w:val="22"/>
        </w:rPr>
        <w:t>e la diabetes mellitus tipo 2 (</w:t>
      </w:r>
      <w:r w:rsidRPr="00F34584">
        <w:rPr>
          <w:sz w:val="22"/>
          <w:szCs w:val="22"/>
        </w:rPr>
        <w:t>DM2), la resistencia a la insulina cumple un rol central. Debido a ello, uno de los pilares de tratamiento es la metformina, la que se recomienda como tratamiento farmacológico inicial dado su seguridad y eficacia en reducción de hemoglobina glicosilada. Sin embargo, una de las principales limitantes de su uso radica en sus efectos adversos gastrointestinales – náuseas, vómitos, diarrea -, que muchas veces obligan a suspenderla. Según estudios internacionales, el 20% de los pacientes que son tratados con metformina presentan efectos adversos gastrointestinales, y un 5% de los pacientes descontinúan su uso por este motivo. El objetivo de este trabajo es objetivar la frecuencia de uso de este fármaco y conocer las razones aportadas por el paciente acerca de su suspensión o falta de prescripción.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rStyle w:val="Textoennegrita"/>
          <w:sz w:val="22"/>
          <w:szCs w:val="22"/>
        </w:rPr>
        <w:t>Diseño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sz w:val="22"/>
          <w:szCs w:val="22"/>
        </w:rPr>
        <w:t>Estudio descriptivo, aprobado por comité de ética local.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rStyle w:val="Textoennegrita"/>
          <w:sz w:val="22"/>
          <w:szCs w:val="22"/>
        </w:rPr>
        <w:t>Materiales y Métodos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sz w:val="22"/>
          <w:szCs w:val="22"/>
        </w:rPr>
        <w:t>Se realizó una encuesta a pacientes con DM2 que acudían a control con el diabetólogo del hospital. La selección de los pacientes encuestados fue al azar. La encuesta auto administrada constaba de dos preguntas: la primera dicotómica en relación al uso de metformina y la dosis; y la segunda, los motivos de la falta de indicación, detallando como causales: no indicado por médico tratante, suspensión por reacción adversa gastrointestinal, suspendido por médico tratante por otra causa, y otros motivos.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rStyle w:val="Textoennegrita"/>
          <w:sz w:val="22"/>
          <w:szCs w:val="22"/>
        </w:rPr>
        <w:t>Resultados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sz w:val="22"/>
          <w:szCs w:val="22"/>
        </w:rPr>
        <w:t xml:space="preserve">Se encuestaron a 104 pacientes con DM2. La edad promedio fue de 60 años y el 66% de los pacientes era de sexo femenino. El 57% usaba metformina. La dosis más frecuentemente usada era de 1700 mg diarios (2 comprimidos de 850 mg), en un 45% de los casos. Un 28.3% usaba triple dosis (2550 mg), y un 22.5% </w:t>
      </w:r>
      <w:proofErr w:type="spellStart"/>
      <w:r w:rsidRPr="00F34584">
        <w:rPr>
          <w:sz w:val="22"/>
          <w:szCs w:val="22"/>
        </w:rPr>
        <w:t>monodosis</w:t>
      </w:r>
      <w:proofErr w:type="spellEnd"/>
      <w:r w:rsidRPr="00F34584">
        <w:rPr>
          <w:sz w:val="22"/>
          <w:szCs w:val="22"/>
        </w:rPr>
        <w:t xml:space="preserve"> de metformina (850 mg). En los pacientes que no usaban metformina, el motivo más frecuente de la falta de indicación fue la suspensión por molestias </w:t>
      </w:r>
      <w:proofErr w:type="spellStart"/>
      <w:r w:rsidRPr="00F34584">
        <w:rPr>
          <w:sz w:val="22"/>
          <w:szCs w:val="22"/>
        </w:rPr>
        <w:t>gastro</w:t>
      </w:r>
      <w:proofErr w:type="spellEnd"/>
      <w:r w:rsidRPr="00F34584">
        <w:rPr>
          <w:sz w:val="22"/>
          <w:szCs w:val="22"/>
        </w:rPr>
        <w:t xml:space="preserve"> intestinales (58%), seguido de la suspensión por médico tratante por otra causa (30.22%), y otros motivos (11.6%). Del total de los encuestados, 104 pacientes, el 25% presentó reacciones adversas gastrointestinales a metformina, suspendiendo su uso.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rStyle w:val="Textoennegrita"/>
          <w:sz w:val="22"/>
          <w:szCs w:val="22"/>
        </w:rPr>
        <w:t>Discusión</w:t>
      </w:r>
    </w:p>
    <w:p w:rsidR="00754896" w:rsidRPr="00F34584" w:rsidRDefault="00EE5499" w:rsidP="00F345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34584">
        <w:rPr>
          <w:sz w:val="22"/>
          <w:szCs w:val="22"/>
        </w:rPr>
        <w:t>La frecuencia de uso de metformina en la literatura internacional ronda el 73%, superior a lo encontrado en el grupo de pacientes encuestados. El porcentaje de efectos adversos gastrointestinales es similar a lo reportado en la literatura, de un 20%; sin embargo, la frecuencia de suspensión de metformina por este motivo es del 5%, a diferencia de la población encuestada en que fue mayor. Dado que la metformina es uno de los pilares de tratamiento en DM 2 y que su ausencia pudiera incidir en la derivación a nivel secundario, es fundamental evaluar los factores que pudieran mejorar su tolerancia digestiva, como la dosificación progresiva y gradual en su indicación inicial.</w:t>
      </w:r>
    </w:p>
    <w:p w:rsidR="00EE5499" w:rsidRPr="00F34584" w:rsidRDefault="00EE5499" w:rsidP="00F3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458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F34584">
        <w:rPr>
          <w:rFonts w:ascii="Times New Roman" w:eastAsia="Times New Roman" w:hAnsi="Times New Roman" w:cs="Times New Roman"/>
        </w:rPr>
        <w:t xml:space="preserve">Sin financiamiento </w:t>
      </w:r>
    </w:p>
    <w:sectPr w:rsidR="00EE5499" w:rsidRPr="00F34584" w:rsidSect="00754896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5D5B"/>
    <w:rsid w:val="002305BB"/>
    <w:rsid w:val="00442E9E"/>
    <w:rsid w:val="006C581E"/>
    <w:rsid w:val="00754896"/>
    <w:rsid w:val="008E7171"/>
    <w:rsid w:val="00A45D5B"/>
    <w:rsid w:val="00EE5499"/>
    <w:rsid w:val="00F3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4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2018-08-06T19:44:00Z</dcterms:created>
  <dcterms:modified xsi:type="dcterms:W3CDTF">2018-09-30T20:43:00Z</dcterms:modified>
</cp:coreProperties>
</file>